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и ответы по тематике исполнения налоговых уведомлений, направленных в 2022 году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Что такое налоговое уведомление и как его исполнить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(пункт 2 статьи 52 Налогового кодекса Российской Федерации, далее – НК РФ).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 </w:t>
      </w:r>
      <w:bookmarkStart w:id="1" w:name="Par2"/>
      <w:bookmarkEnd w:id="1"/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налогового уведомления утверждена приказом ФНС России от 07.09.2016 № ММВ-7-11/477@ и включает сумму налога, подлежащую уплате, сведения об объектах налогообложения, налоговой базе, сроке уплаты налога, а также сведения, необходимые для перечисления налога в бюджетную систему Российской Федерации 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штрих-код, УИН, банковские реквизиты платежа).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может быть направлено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 (его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законный</w:t>
        </w:r>
      </w:hyperlink>
      <w:r>
        <w:rPr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Налоговое уведомление за налоговый период 2021 года должно быть исполнено (налоги в нём оплачены) не позднее 1 декабря 2022 года.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Основные изменения в налогообложении имущества физических лиц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уведомления, направленные в 2022 году, содержат расчет имущественных налогов за налоговый период 2021 года. При этом по сравнению с предыдущим налоговым периодом произошли следующие основные изменения: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по транспортному налогу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расчете налога применен новый Перечень легковых автомобилей средней стоимостью от 3 млн руб. за 2021 год, размещенный на сайте Минпромторга России https://minpromtorg.gov.ru/docs/#!perechen_legkovyh_avtomobiley_sredney_stoimostyu_ot_3_millionov_rubley_podlezhashhiy_primeneniyu_v_ocherednom_nalogovom_periode_2021_god (по сравнению с аналогичным Перечнем 2020 года в него дополнительно включены такие марки и модели автомобилей, как Skoda KODIAQ SportLine, Toyota Fortuner 2.8 Elegance, Citroen SpaceTourer BUSINESS LOUNGE XL, Peugeot TRAVELLER Business VIP Long.);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7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 xml:space="preserve">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по земельному налогу </w:t>
      </w:r>
    </w:p>
    <w:p w:rsidR="00313057" w:rsidRDefault="00313057" w:rsidP="0031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исчисление суммы налога производится по налоговой ставке, установленной в соответствии с подпунктом 2 пункта 1 статьи 394 НК РФ (не более 1,5% «для прочих земель») в отношении земельного участка, по которому из органа, осуществляющего федеральный государственный земельный контроль (надзор), поступила информация о нарушениях обязательных требований к использованию и охране объектов земельных отношений:</w:t>
      </w:r>
    </w:p>
    <w:p w:rsidR="00313057" w:rsidRDefault="00313057" w:rsidP="0031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связи с неиспользованием для сельхозпроизводства земельного участка,  относящегося к землям сельхозназначения или к землям в составе зон сельхозиспользования; </w:t>
      </w:r>
    </w:p>
    <w:p w:rsidR="00313057" w:rsidRDefault="00313057" w:rsidP="00313057">
      <w:pPr>
        <w:ind w:firstLine="709"/>
        <w:jc w:val="both"/>
      </w:pPr>
      <w:r>
        <w:rPr>
          <w:sz w:val="28"/>
          <w:szCs w:val="28"/>
        </w:rPr>
        <w:t>б) в связи с использованием не по целевому назначению (неиспользованием по целевому назначению) в предпринимательской деятельности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огородничества;</w:t>
      </w:r>
    </w:p>
    <w:p w:rsidR="00313057" w:rsidRDefault="00313057" w:rsidP="00313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8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 xml:space="preserve">);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применены новые результаты государственной кадастровой оценки земель, вступившие в силу с 2021 года. С этими результатами можно </w:t>
      </w:r>
      <w:r>
        <w:rPr>
          <w:sz w:val="28"/>
          <w:szCs w:val="28"/>
        </w:rPr>
        <w:lastRenderedPageBreak/>
        <w:t xml:space="preserve">ознакомиться, получив выписку из Единого государственного реестра недвижимости;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по налогу на имущество физических лиц 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налога за налоговый период 2021 года во всех регионах применена кадастровая стоимость объектов недвижимости, при этом для исчисления налога использованы понижающие коэффициенты: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0.2 – для г. Севастополя где кадастровая стоимость применяется в качестве налоговой базы первый год;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0.4 (в 2021 году был 0.2) – </w:t>
      </w:r>
      <w:r>
        <w:rPr>
          <w:b/>
          <w:sz w:val="28"/>
          <w:szCs w:val="28"/>
        </w:rPr>
        <w:t>10 регионов</w:t>
      </w:r>
      <w:r>
        <w:rPr>
          <w:sz w:val="28"/>
          <w:szCs w:val="28"/>
        </w:rPr>
        <w:t xml:space="preserve">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второй год;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0.6 (в 2021 году был 0.4) – для </w:t>
      </w:r>
      <w:r>
        <w:rPr>
          <w:b/>
          <w:sz w:val="28"/>
          <w:szCs w:val="28"/>
        </w:rPr>
        <w:t>4 регионов</w:t>
      </w:r>
      <w:r>
        <w:rPr>
          <w:sz w:val="28"/>
          <w:szCs w:val="28"/>
        </w:rPr>
        <w:t xml:space="preserve"> 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третий год;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10-ти процентного ограничения роста налога по сравнению с предшествующим налоговым периодом – для </w:t>
      </w:r>
      <w:r>
        <w:rPr>
          <w:b/>
          <w:sz w:val="28"/>
          <w:szCs w:val="28"/>
        </w:rPr>
        <w:t>74 регионов</w:t>
      </w:r>
      <w:r>
        <w:rPr>
          <w:sz w:val="28"/>
          <w:szCs w:val="28"/>
        </w:rPr>
        <w:t xml:space="preserve">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п. 7 ст. 378.2</w:t>
        </w:r>
      </w:hyperlink>
      <w:r>
        <w:rPr>
          <w:sz w:val="28"/>
          <w:szCs w:val="28"/>
        </w:rPr>
        <w:t xml:space="preserve"> НК РФ, а также объектов, предусмотренных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абз. 2 п. 10 ст. 378.2</w:t>
        </w:r>
      </w:hyperlink>
      <w:r>
        <w:rPr>
          <w:sz w:val="28"/>
          <w:szCs w:val="28"/>
        </w:rPr>
        <w:t xml:space="preserve"> НК РФ);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п. 7 ст. 378.2</w:t>
        </w:r>
      </w:hyperlink>
      <w:r>
        <w:rPr>
          <w:sz w:val="28"/>
          <w:szCs w:val="28"/>
        </w:rPr>
        <w:t xml:space="preserve"> НК РФ, а также объектов, предусмотренных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абз. 2 п. 10 ст. 378.2</w:t>
        </w:r>
      </w:hyperlink>
      <w:r>
        <w:rPr>
          <w:sz w:val="28"/>
          <w:szCs w:val="28"/>
        </w:rPr>
        <w:t xml:space="preserve"> НК РФ);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3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новые результаты государственной кадастровой оценки объектов недвижимости, вступившие в силу с 2021 года. С этими результатами можно ознакомиться, получив выписку из Единого государственного реестра недвижимости.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Почему в 2022 году изменились налоги на имущество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Транспортный налог.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4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 xml:space="preserve">);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Минпромторга России Перечню легковых автомобилей средней стоимостью от 3 миллионов рублей для налогового периода 2021 года;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налог.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5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Росреестра;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Налог на имущество физлиц. </w:t>
      </w:r>
      <w:r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рост коэффициента к налоговому периоду. В частности, в 10 </w:t>
      </w:r>
      <w:r>
        <w:rPr>
          <w:b/>
          <w:sz w:val="28"/>
          <w:szCs w:val="28"/>
        </w:rPr>
        <w:t xml:space="preserve">регионах </w:t>
      </w:r>
      <w:r>
        <w:rPr>
          <w:sz w:val="28"/>
          <w:szCs w:val="28"/>
        </w:rPr>
        <w:t>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используется второй год, при расчете налога будет применен коэффициент 0,4 (был в 2021 г. – 0,2). В 4</w:t>
      </w:r>
      <w:r>
        <w:rPr>
          <w:b/>
          <w:sz w:val="28"/>
          <w:szCs w:val="28"/>
        </w:rPr>
        <w:t xml:space="preserve"> регионах </w:t>
      </w:r>
      <w:r>
        <w:rPr>
          <w:sz w:val="28"/>
          <w:szCs w:val="28"/>
        </w:rPr>
        <w:t>третьего года применения кадастровой стоимости (Республики Дагестан и Северная Осетия - Алания, Красноярский край, Смоленская область) коэффициент достигнет значения 0,6 (был в 2021 г. – 0,4);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Росреестра;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6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Как проверить налоговые ставки и льготы, указанные в налоговом уведомлении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17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Как воспользоваться льготой, неучтенной в налоговом уведомлении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1.</w:t>
      </w:r>
      <w:r>
        <w:rPr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2.</w:t>
      </w:r>
      <w:r>
        <w:rPr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Транспортный налог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8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 xml:space="preserve">), либо обратившись в налоговые инспекции или в контакт-центр ФНС России (тел. 8 800 – 222-22-22).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Земельный налог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предпенсионеры; </w:t>
      </w:r>
      <w:r>
        <w:rPr>
          <w:rFonts w:eastAsia="Calibri"/>
          <w:sz w:val="28"/>
          <w:szCs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>
        <w:rPr>
          <w:sz w:val="28"/>
          <w:szCs w:val="28"/>
        </w:rPr>
        <w:t xml:space="preserve"> ст. 391 НК РФ.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9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 на имущество физлиц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 для 16-категорий налогоплательщиков (пенсионеры, предпенсионеры, инвалиды, ветераны, военнослужащие, владельцы хозстроений до 50 кв.м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подпункте 14 пункта 1</w:t>
        </w:r>
      </w:hyperlink>
      <w:r>
        <w:rPr>
          <w:sz w:val="28"/>
          <w:szCs w:val="28"/>
        </w:rPr>
        <w:t xml:space="preserve"> статьи 407 НК РФ; 4) хозяйственное строение или сооружение, указанные в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подпункте 15 пункта 1</w:t>
        </w:r>
      </w:hyperlink>
      <w:r>
        <w:rPr>
          <w:sz w:val="28"/>
          <w:szCs w:val="28"/>
        </w:rPr>
        <w:t xml:space="preserve"> статьи 407 НК РФ; 5) гараж или машино-место.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22" w:history="1">
        <w:r>
          <w:rPr>
            <w:rStyle w:val="a3"/>
            <w:sz w:val="28"/>
            <w:szCs w:val="28"/>
          </w:rPr>
          <w:t>https://www.nalog.ru/rn77/service/tax/</w:t>
        </w:r>
      </w:hyperlink>
      <w:r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3.</w:t>
      </w:r>
      <w:r>
        <w:rPr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через уполномоченный МФЦ.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Что делать, если в налоговом уведомлении некорректная информация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органы</w:t>
        </w:r>
      </w:hyperlink>
      <w:r>
        <w:rPr>
          <w:sz w:val="28"/>
          <w:szCs w:val="28"/>
        </w:rPr>
        <w:t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для пользователей «Личного кабинета налогоплательщика» - через личный кабинет налогоплательщика;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интернет-сервиса ФНС России «Обратиться в ФНС России».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 налогоплательщика).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 налоговой инспекции или контакт-центра ФНС России: 8 800-222-22-22.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Что делать, если налоговое уведомление не получено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313057" w:rsidRDefault="00313057" w:rsidP="00313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обязаны сообщать о наличии у них данных объектов в любой налоговый орган</w:t>
        </w:r>
      </w:hyperlink>
      <w:r>
        <w:rPr>
          <w:sz w:val="28"/>
          <w:szCs w:val="28"/>
        </w:rPr>
        <w:t xml:space="preserve"> (форма сообщения утверждена приказом ФНС России от 26.11.2014 № ММВ-7-11/598@). </w:t>
      </w:r>
    </w:p>
    <w:p w:rsidR="00C14949" w:rsidRDefault="00C14949"/>
    <w:sectPr w:rsidR="00C14949" w:rsidSect="0086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57"/>
    <w:rsid w:val="0020714C"/>
    <w:rsid w:val="00313057"/>
    <w:rsid w:val="00867FB8"/>
    <w:rsid w:val="00C14949"/>
    <w:rsid w:val="00C5037A"/>
    <w:rsid w:val="00D65ECC"/>
    <w:rsid w:val="00E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5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3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5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13" Type="http://schemas.openxmlformats.org/officeDocument/2006/relationships/hyperlink" Target="https://www.nalog.ru/rn77/service/tax/" TargetMode="External"/><Relationship Id="rId18" Type="http://schemas.openxmlformats.org/officeDocument/2006/relationships/hyperlink" Target="https://www.nalog.ru/rn77/service/tax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7DE8A3430C0BCBCAD69872580B1B75689B1F6C3FC35CD82AD13AB7DC362D43E4BC14749D0C20o7W3L" TargetMode="External"/><Relationship Id="rId7" Type="http://schemas.openxmlformats.org/officeDocument/2006/relationships/hyperlink" Target="https://www.nalog.ru/rn77/service/tax/" TargetMode="External"/><Relationship Id="rId12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7" Type="http://schemas.openxmlformats.org/officeDocument/2006/relationships/hyperlink" Target="https://www.nalog.ru/rn77/service/tax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nalog.ru/rn77/service/tax/" TargetMode="External"/><Relationship Id="rId20" Type="http://schemas.openxmlformats.org/officeDocument/2006/relationships/hyperlink" Target="consultantplus://offline/ref=697DE8A3430C0BCBCAD69872580B1B75689B1F6C3FC35CD82AD13AB7DC362D43E4BC14749D0C20o7W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A80ECADC330BAF129C43A7C4211C1101317633752A1BA039446D53F0CEC6214475A04DB388EB507D07D2833g9I" TargetMode="External"/><Relationship Id="rId11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24" Type="http://schemas.openxmlformats.org/officeDocument/2006/relationships/hyperlink" Target="https://www.nalog.ru/rn77/fl/interest/imuch_mes/" TargetMode="External"/><Relationship Id="rId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15" Type="http://schemas.openxmlformats.org/officeDocument/2006/relationships/hyperlink" Target="https://www.nalog.ru/rn77/service/tax/" TargetMode="External"/><Relationship Id="rId23" Type="http://schemas.openxmlformats.org/officeDocument/2006/relationships/hyperlink" Target="consultantplus://offline/ref=6F8C3403CE59A5220BDB708F4EC1B517ED98CA8C42A3A953BB47467636620EBA398848729E65824AP971J" TargetMode="External"/><Relationship Id="rId10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9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4" Type="http://schemas.openxmlformats.org/officeDocument/2006/relationships/hyperlink" Target="https://www.nalog.ru/rn77/service/tax/" TargetMode="External"/><Relationship Id="rId22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Волгосеенко Надежда Михайловна</dc:creator>
  <cp:lastModifiedBy>Экономика-1</cp:lastModifiedBy>
  <cp:revision>2</cp:revision>
  <cp:lastPrinted>2022-09-20T07:20:00Z</cp:lastPrinted>
  <dcterms:created xsi:type="dcterms:W3CDTF">2022-10-27T06:09:00Z</dcterms:created>
  <dcterms:modified xsi:type="dcterms:W3CDTF">2022-10-27T06:09:00Z</dcterms:modified>
</cp:coreProperties>
</file>